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eastAsia" w:ascii="黑体" w:hAnsi="黑体" w:eastAsia="黑体" w:cs="黑体"/>
          <w:lang w:val="en-US" w:eastAsia="zh-CN"/>
        </w:rPr>
      </w:pPr>
      <w:r>
        <w:rPr>
          <w:rFonts w:hint="eastAsia" w:ascii="黑体" w:hAnsi="黑体" w:eastAsia="黑体" w:cs="黑体"/>
          <w:lang w:val="en-US" w:eastAsia="zh-CN"/>
        </w:rPr>
        <w:t>厦门市仙岳医院体外诊断试剂</w:t>
      </w:r>
    </w:p>
    <w:p>
      <w:pPr>
        <w:pStyle w:val="2"/>
        <w:bidi w:val="0"/>
        <w:spacing w:line="240" w:lineRule="auto"/>
        <w:jc w:val="center"/>
        <w:rPr>
          <w:rFonts w:hint="eastAsia" w:ascii="黑体" w:hAnsi="黑体" w:eastAsia="黑体" w:cs="黑体"/>
          <w:lang w:val="en-US" w:eastAsia="zh-CN"/>
        </w:rPr>
      </w:pPr>
      <w:r>
        <w:rPr>
          <w:rFonts w:hint="eastAsia" w:ascii="黑体" w:hAnsi="黑体" w:eastAsia="黑体" w:cs="黑体"/>
          <w:lang w:val="en-US" w:eastAsia="zh-CN"/>
        </w:rPr>
        <w:t>市场调研公告（二次公告）</w:t>
      </w:r>
    </w:p>
    <w:p>
      <w:pPr>
        <w:rPr>
          <w:rFonts w:hint="default"/>
        </w:rPr>
      </w:pPr>
    </w:p>
    <w:p>
      <w:pPr>
        <w:ind w:firstLine="420" w:firstLineChars="0"/>
        <w:rPr>
          <w:rFonts w:hint="eastAsia"/>
          <w:lang w:val="en-US" w:eastAsia="zh-CN"/>
        </w:rPr>
      </w:pPr>
      <w:r>
        <w:rPr>
          <w:rFonts w:hint="eastAsia"/>
          <w:lang w:val="en-US" w:eastAsia="zh-CN"/>
        </w:rPr>
        <w:t>我院拟对以下体外诊断试剂项目进行市场调研，欢迎符合条件的厂家或供应商提交资料报名参加，有关事项如下：</w:t>
      </w:r>
    </w:p>
    <w:p>
      <w:pPr>
        <w:ind w:firstLine="420" w:firstLineChars="0"/>
        <w:rPr>
          <w:rFonts w:hint="eastAsia"/>
          <w:lang w:val="en-US" w:eastAsia="zh-CN"/>
        </w:rPr>
      </w:pPr>
    </w:p>
    <w:p>
      <w:pPr>
        <w:numPr>
          <w:ilvl w:val="0"/>
          <w:numId w:val="1"/>
        </w:numPr>
        <w:rPr>
          <w:rFonts w:hint="eastAsia"/>
          <w:b/>
          <w:bCs/>
          <w:lang w:val="en-US" w:eastAsia="zh-CN"/>
        </w:rPr>
      </w:pPr>
      <w:r>
        <w:rPr>
          <w:rFonts w:hint="eastAsia"/>
          <w:b/>
          <w:bCs/>
          <w:lang w:val="en-US" w:eastAsia="zh-CN"/>
        </w:rPr>
        <w:t>项目内容及需求</w:t>
      </w:r>
    </w:p>
    <w:p>
      <w:pPr>
        <w:numPr>
          <w:ilvl w:val="0"/>
          <w:numId w:val="0"/>
        </w:numPr>
        <w:rPr>
          <w:rFonts w:hint="eastAsia"/>
          <w:b/>
          <w:bCs/>
          <w:lang w:val="en-US" w:eastAsia="zh-CN"/>
        </w:rPr>
      </w:pPr>
    </w:p>
    <w:tbl>
      <w:tblPr>
        <w:tblStyle w:val="3"/>
        <w:tblW w:w="8265"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Layout w:type="autofit"/>
        <w:tblCellMar>
          <w:top w:w="0" w:type="dxa"/>
          <w:left w:w="0" w:type="dxa"/>
          <w:bottom w:w="0" w:type="dxa"/>
          <w:right w:w="0" w:type="dxa"/>
        </w:tblCellMar>
      </w:tblPr>
      <w:tblGrid>
        <w:gridCol w:w="1296"/>
        <w:gridCol w:w="5079"/>
        <w:gridCol w:w="189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576" w:hRule="atLeast"/>
          <w:jc w:val="center"/>
        </w:trPr>
        <w:tc>
          <w:tcPr>
            <w:tcW w:w="1296" w:type="dxa"/>
            <w:tcBorders>
              <w:top w:val="single" w:color="000000" w:sz="8" w:space="0"/>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numPr>
                <w:ilvl w:val="0"/>
                <w:numId w:val="0"/>
              </w:numPr>
              <w:jc w:val="center"/>
              <w:rPr>
                <w:rFonts w:hint="eastAsia"/>
                <w:b w:val="0"/>
                <w:bCs w:val="0"/>
                <w:lang w:val="en-US" w:eastAsia="zh-CN"/>
              </w:rPr>
            </w:pPr>
            <w:r>
              <w:rPr>
                <w:rFonts w:hint="eastAsia"/>
                <w:b w:val="0"/>
                <w:bCs w:val="0"/>
                <w:lang w:val="en-US" w:eastAsia="zh-CN"/>
              </w:rPr>
              <w:t>序号</w:t>
            </w:r>
          </w:p>
        </w:tc>
        <w:tc>
          <w:tcPr>
            <w:tcW w:w="5079" w:type="dxa"/>
            <w:tcBorders>
              <w:top w:val="single" w:color="000000" w:sz="8" w:space="0"/>
              <w:left w:val="nil"/>
              <w:bottom w:val="single" w:color="000000" w:sz="8" w:space="0"/>
              <w:right w:val="single" w:color="000000" w:sz="8" w:space="0"/>
            </w:tcBorders>
            <w:shd w:val="clear" w:color="auto" w:fill="F6F6F6"/>
            <w:noWrap w:val="0"/>
            <w:tcMar>
              <w:left w:w="108" w:type="dxa"/>
              <w:right w:w="108" w:type="dxa"/>
            </w:tcMar>
            <w:vAlign w:val="center"/>
          </w:tcPr>
          <w:p>
            <w:pPr>
              <w:numPr>
                <w:ilvl w:val="0"/>
                <w:numId w:val="0"/>
              </w:numPr>
              <w:jc w:val="center"/>
              <w:rPr>
                <w:rFonts w:hint="eastAsia"/>
                <w:b w:val="0"/>
                <w:bCs w:val="0"/>
                <w:lang w:val="en-US" w:eastAsia="zh-CN"/>
              </w:rPr>
            </w:pPr>
            <w:r>
              <w:rPr>
                <w:rFonts w:hint="eastAsia"/>
                <w:b w:val="0"/>
                <w:bCs w:val="0"/>
                <w:lang w:val="en-US" w:eastAsia="zh-CN"/>
              </w:rPr>
              <w:t>产品名称</w:t>
            </w:r>
          </w:p>
        </w:tc>
        <w:tc>
          <w:tcPr>
            <w:tcW w:w="1890" w:type="dxa"/>
            <w:tcBorders>
              <w:top w:val="single" w:color="000000" w:sz="8" w:space="0"/>
              <w:left w:val="nil"/>
              <w:bottom w:val="single" w:color="000000" w:sz="8" w:space="0"/>
              <w:right w:val="single" w:color="000000" w:sz="8" w:space="0"/>
            </w:tcBorders>
            <w:shd w:val="clear" w:color="auto" w:fill="F6F6F6"/>
            <w:noWrap w:val="0"/>
            <w:tcMar>
              <w:left w:w="108" w:type="dxa"/>
              <w:right w:w="108" w:type="dxa"/>
            </w:tcMar>
            <w:vAlign w:val="center"/>
          </w:tcPr>
          <w:p>
            <w:pPr>
              <w:numPr>
                <w:ilvl w:val="0"/>
                <w:numId w:val="0"/>
              </w:numPr>
              <w:jc w:val="center"/>
              <w:rPr>
                <w:rFonts w:hint="eastAsia"/>
                <w:b w:val="0"/>
                <w:bCs w:val="0"/>
                <w:lang w:val="en-US" w:eastAsia="zh-CN"/>
              </w:rPr>
            </w:pPr>
            <w:r>
              <w:rPr>
                <w:rFonts w:hint="eastAsia"/>
                <w:b w:val="0"/>
                <w:bCs w:val="0"/>
                <w:lang w:val="en-US" w:eastAsia="zh-CN"/>
              </w:rPr>
              <w:t>公告类型</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576" w:hRule="atLeast"/>
          <w:jc w:val="center"/>
        </w:trPr>
        <w:tc>
          <w:tcPr>
            <w:tcW w:w="1296"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numPr>
                <w:ilvl w:val="0"/>
                <w:numId w:val="0"/>
              </w:numPr>
              <w:jc w:val="center"/>
              <w:rPr>
                <w:rFonts w:hint="eastAsia"/>
                <w:b w:val="0"/>
                <w:bCs w:val="0"/>
                <w:lang w:val="en-US" w:eastAsia="zh-CN"/>
              </w:rPr>
            </w:pPr>
            <w:r>
              <w:rPr>
                <w:rFonts w:hint="eastAsia"/>
                <w:b w:val="0"/>
                <w:bCs w:val="0"/>
                <w:lang w:val="en-US" w:eastAsia="zh-CN"/>
              </w:rPr>
              <w:t>1</w:t>
            </w:r>
          </w:p>
        </w:tc>
        <w:tc>
          <w:tcPr>
            <w:tcW w:w="5079"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numPr>
                <w:ilvl w:val="0"/>
                <w:numId w:val="0"/>
              </w:numPr>
              <w:jc w:val="left"/>
              <w:rPr>
                <w:rFonts w:hint="eastAsia"/>
                <w:b w:val="0"/>
                <w:bCs w:val="0"/>
                <w:lang w:val="en-US" w:eastAsia="zh-CN"/>
              </w:rPr>
            </w:pPr>
            <w:r>
              <w:rPr>
                <w:rFonts w:hint="eastAsia"/>
                <w:b w:val="0"/>
                <w:bCs w:val="0"/>
                <w:lang w:val="en-US" w:eastAsia="zh-CN"/>
              </w:rPr>
              <w:t>甲型流感病毒抗原、乙型流感病毒抗原、腺病毒抗原、呼吸道合胞病毒抗原检测试剂盒</w:t>
            </w:r>
          </w:p>
        </w:tc>
        <w:tc>
          <w:tcPr>
            <w:tcW w:w="1890"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numPr>
                <w:ilvl w:val="0"/>
                <w:numId w:val="0"/>
              </w:numPr>
              <w:jc w:val="center"/>
              <w:rPr>
                <w:rFonts w:hint="eastAsia"/>
                <w:b w:val="0"/>
                <w:bCs w:val="0"/>
                <w:lang w:val="en-US" w:eastAsia="zh-CN"/>
              </w:rPr>
            </w:pPr>
            <w:r>
              <w:rPr>
                <w:rFonts w:hint="eastAsia"/>
                <w:b w:val="0"/>
                <w:bCs w:val="0"/>
                <w:lang w:val="en-US" w:eastAsia="zh-CN"/>
              </w:rPr>
              <w:t>再次公告</w:t>
            </w:r>
          </w:p>
        </w:tc>
      </w:tr>
    </w:tbl>
    <w:p>
      <w:pPr>
        <w:numPr>
          <w:ilvl w:val="0"/>
          <w:numId w:val="0"/>
        </w:numPr>
        <w:rPr>
          <w:rFonts w:hint="eastAsia"/>
          <w:b/>
          <w:bCs/>
          <w:lang w:val="en-US" w:eastAsia="zh-CN"/>
        </w:rPr>
      </w:pPr>
    </w:p>
    <w:p>
      <w:pPr>
        <w:numPr>
          <w:ilvl w:val="0"/>
          <w:numId w:val="1"/>
        </w:numPr>
        <w:ind w:left="0" w:leftChars="0" w:firstLine="0" w:firstLineChars="0"/>
        <w:rPr>
          <w:rFonts w:hint="eastAsia"/>
          <w:b/>
          <w:bCs/>
          <w:lang w:val="en-US" w:eastAsia="zh-CN"/>
        </w:rPr>
      </w:pPr>
      <w:r>
        <w:rPr>
          <w:rFonts w:hint="eastAsia"/>
          <w:b/>
          <w:bCs/>
          <w:lang w:val="en-US" w:eastAsia="zh-CN"/>
        </w:rPr>
        <w:t>调研资料要求</w:t>
      </w:r>
    </w:p>
    <w:p>
      <w:pPr>
        <w:numPr>
          <w:ilvl w:val="0"/>
          <w:numId w:val="0"/>
        </w:numPr>
        <w:ind w:leftChars="0"/>
        <w:rPr>
          <w:rFonts w:hint="eastAsia"/>
          <w:b/>
          <w:bCs/>
          <w:lang w:val="en-US" w:eastAsia="zh-CN"/>
        </w:rPr>
      </w:pPr>
    </w:p>
    <w:p>
      <w:pPr>
        <w:widowControl w:val="0"/>
        <w:numPr>
          <w:ilvl w:val="0"/>
          <w:numId w:val="2"/>
        </w:numPr>
        <w:ind w:firstLine="420" w:firstLineChars="0"/>
        <w:jc w:val="both"/>
        <w:rPr>
          <w:rFonts w:hint="eastAsia"/>
          <w:b w:val="0"/>
          <w:bCs w:val="0"/>
          <w:lang w:val="en-US" w:eastAsia="zh-CN"/>
        </w:rPr>
      </w:pPr>
      <w:r>
        <w:rPr>
          <w:rFonts w:hint="eastAsia"/>
          <w:b w:val="0"/>
          <w:bCs w:val="0"/>
          <w:lang w:val="en-US" w:eastAsia="zh-CN"/>
        </w:rPr>
        <w:t>符合资格的供应商必须按以下表格顺序制作调研必备审核文件并注明页码。若无法提供该项目文件，请在该项所对应的页面上填写情况说明。</w:t>
      </w:r>
    </w:p>
    <w:p>
      <w:pPr>
        <w:widowControl w:val="0"/>
        <w:numPr>
          <w:ilvl w:val="0"/>
          <w:numId w:val="2"/>
        </w:numPr>
        <w:ind w:firstLine="420" w:firstLineChars="0"/>
        <w:jc w:val="both"/>
        <w:rPr>
          <w:rFonts w:hint="default"/>
          <w:b w:val="0"/>
          <w:bCs w:val="0"/>
          <w:lang w:val="en-US" w:eastAsia="zh-CN"/>
        </w:rPr>
      </w:pPr>
      <w:r>
        <w:rPr>
          <w:rFonts w:hint="default"/>
          <w:b w:val="0"/>
          <w:bCs w:val="0"/>
          <w:lang w:val="en-US" w:eastAsia="zh-CN"/>
        </w:rPr>
        <w:t>以下所有材料需要加盖经销商或者厂家公章。（调研文件需要制作封面：体现参与项目、参与推介的厂家或供应商、业务员名字和电话；文件无需胶装，采用拉杆夹便于后期材料增补）</w:t>
      </w:r>
    </w:p>
    <w:p>
      <w:pPr>
        <w:widowControl w:val="0"/>
        <w:numPr>
          <w:ilvl w:val="0"/>
          <w:numId w:val="0"/>
        </w:numPr>
        <w:jc w:val="both"/>
        <w:rPr>
          <w:rFonts w:hint="default"/>
          <w:b w:val="0"/>
          <w:bCs w:val="0"/>
          <w:lang w:val="en-US" w:eastAsia="zh-CN"/>
        </w:rPr>
      </w:pPr>
    </w:p>
    <w:tbl>
      <w:tblPr>
        <w:tblStyle w:val="3"/>
        <w:tblW w:w="960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Layout w:type="autofit"/>
        <w:tblCellMar>
          <w:top w:w="0" w:type="dxa"/>
          <w:left w:w="0" w:type="dxa"/>
          <w:bottom w:w="0" w:type="dxa"/>
          <w:right w:w="0" w:type="dxa"/>
        </w:tblCellMar>
      </w:tblPr>
      <w:tblGrid>
        <w:gridCol w:w="808"/>
        <w:gridCol w:w="7664"/>
        <w:gridCol w:w="113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614" w:hRule="atLeast"/>
          <w:jc w:val="center"/>
        </w:trPr>
        <w:tc>
          <w:tcPr>
            <w:tcW w:w="808" w:type="dxa"/>
            <w:tcBorders>
              <w:top w:val="single" w:color="000000" w:sz="8" w:space="0"/>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w:t>
            </w:r>
          </w:p>
        </w:tc>
        <w:tc>
          <w:tcPr>
            <w:tcW w:w="7664" w:type="dxa"/>
            <w:tcBorders>
              <w:top w:val="single" w:color="000000" w:sz="8" w:space="0"/>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供应商报名表</w:t>
            </w:r>
          </w:p>
        </w:tc>
        <w:tc>
          <w:tcPr>
            <w:tcW w:w="1134" w:type="dxa"/>
            <w:tcBorders>
              <w:top w:val="single" w:color="000000" w:sz="8" w:space="0"/>
              <w:left w:val="nil"/>
              <w:bottom w:val="single" w:color="000000" w:sz="8" w:space="0"/>
              <w:right w:val="single" w:color="000000" w:sz="8" w:space="0"/>
            </w:tcBorders>
            <w:shd w:val="clear" w:color="auto" w:fill="F6F6F6"/>
            <w:noWrap w:val="0"/>
            <w:tcMar>
              <w:left w:w="108" w:type="dxa"/>
              <w:right w:w="108" w:type="dxa"/>
            </w:tcMar>
            <w:vAlign w:val="top"/>
          </w:tcPr>
          <w:p>
            <w:pPr>
              <w:widowControl w:val="0"/>
              <w:numPr>
                <w:ilvl w:val="0"/>
                <w:numId w:val="0"/>
              </w:numPr>
              <w:jc w:val="center"/>
              <w:rPr>
                <w:rFonts w:hint="default"/>
                <w:b w:val="0"/>
                <w:bCs w:val="0"/>
                <w:lang w:val="en-US" w:eastAsia="zh-CN"/>
              </w:rPr>
            </w:pPr>
            <w:r>
              <w:rPr>
                <w:rFonts w:hint="default"/>
                <w:b w:val="0"/>
                <w:bCs w:val="0"/>
                <w:lang w:val="en-US" w:eastAsia="zh-CN"/>
              </w:rPr>
              <w:t>附件1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2</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生产厂家代表和参与竞争供应商法人或法人授权代表有效名片</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top"/>
          </w:tcPr>
          <w:p>
            <w:pPr>
              <w:widowControl w:val="0"/>
              <w:numPr>
                <w:ilvl w:val="0"/>
                <w:numId w:val="0"/>
              </w:numPr>
              <w:jc w:val="center"/>
              <w:rPr>
                <w:rFonts w:hint="default"/>
                <w:b w:val="0"/>
                <w:bCs w:val="0"/>
                <w:lang w:val="en-US" w:eastAsia="zh-CN"/>
              </w:rPr>
            </w:pPr>
            <w:r>
              <w:rPr>
                <w:rFonts w:hint="default"/>
                <w:b w:val="0"/>
                <w:bCs w:val="0"/>
                <w:lang w:val="en-US" w:eastAsia="zh-CN"/>
              </w:rPr>
              <w:t>附件2</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3</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报价单（含生产厂家、产品名称、注册证号、型号规格、单价、包装单位、收费编码、收费情况）</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top"/>
          </w:tcPr>
          <w:p>
            <w:pPr>
              <w:widowControl w:val="0"/>
              <w:numPr>
                <w:ilvl w:val="0"/>
                <w:numId w:val="0"/>
              </w:numPr>
              <w:jc w:val="center"/>
              <w:rPr>
                <w:rFonts w:hint="default"/>
                <w:b w:val="0"/>
                <w:bCs w:val="0"/>
                <w:lang w:val="en-US" w:eastAsia="zh-CN"/>
              </w:rPr>
            </w:pPr>
            <w:r>
              <w:rPr>
                <w:rFonts w:hint="default"/>
                <w:b w:val="0"/>
                <w:bCs w:val="0"/>
                <w:lang w:val="en-US" w:eastAsia="zh-CN"/>
              </w:rPr>
              <w:t>附件3</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835"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4</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供应商三证（营业执照、税务登记证、组织机构代码证）</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5</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供应商医疗器械经营许可证（需具备报名产品的经营资格）</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741"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6</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供应商合法销售试剂的生产厂家有效授权书，</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812"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7</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供应商开户信息及业务联系信息</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8</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谈判代表及业务联系人法人授权书及身份证复印件</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70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9</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试剂生产厂家或总代三证（营业执照、税务登记证、组织机构代码证）</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10</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试剂生产厂家医疗器械生产许可证或总代医疗器械经营许可证</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700"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11</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试剂医疗器械注册证及产品登记表附件</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644"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12</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进口试剂需提供国外生产厂家给医疗器械注册证所登记总代的授权</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13</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进口试剂海关报关单等相关合法进口证明文件</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54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14</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前3年内在政府采购活动中没有重大违法记录的书面声明</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54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15</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须提供与我院同等级（三级甲等）的其它医疗机构的供货证明（近3个月内发票清单的复印件），加盖公章</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r>
              <w:rPr>
                <w:rFonts w:hint="default"/>
                <w:b w:val="0"/>
                <w:bCs w:val="0"/>
                <w:lang w:val="en-US" w:eastAsia="zh-CN"/>
              </w:rPr>
              <w:t>16</w:t>
            </w: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val="0"/>
                <w:bCs w:val="0"/>
                <w:lang w:val="en-US" w:eastAsia="zh-CN"/>
              </w:rPr>
              <w:t>用户清单</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6F6F6"/>
          <w:tblCellMar>
            <w:top w:w="0" w:type="dxa"/>
            <w:left w:w="0" w:type="dxa"/>
            <w:bottom w:w="0" w:type="dxa"/>
            <w:right w:w="0" w:type="dxa"/>
          </w:tblCellMar>
        </w:tblPrEx>
        <w:trPr>
          <w:trHeight w:val="548" w:hRule="atLeast"/>
          <w:jc w:val="center"/>
        </w:trPr>
        <w:tc>
          <w:tcPr>
            <w:tcW w:w="808" w:type="dxa"/>
            <w:tcBorders>
              <w:top w:val="nil"/>
              <w:left w:val="single" w:color="000000" w:sz="8" w:space="0"/>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c>
          <w:tcPr>
            <w:tcW w:w="766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both"/>
              <w:rPr>
                <w:rFonts w:hint="default"/>
                <w:b w:val="0"/>
                <w:bCs w:val="0"/>
                <w:lang w:val="en-US" w:eastAsia="zh-CN"/>
              </w:rPr>
            </w:pPr>
            <w:r>
              <w:rPr>
                <w:rFonts w:hint="default"/>
                <w:b/>
                <w:bCs/>
                <w:lang w:val="en-US" w:eastAsia="zh-CN"/>
              </w:rPr>
              <w:t>总代</w:t>
            </w:r>
            <w:r>
              <w:rPr>
                <w:rFonts w:hint="default"/>
                <w:b w:val="0"/>
                <w:bCs w:val="0"/>
                <w:lang w:val="en-US" w:eastAsia="zh-CN"/>
              </w:rPr>
              <w:t>是指国外生产的进口产品在国家食品药品监督管理总局登记注册的代理机构。</w:t>
            </w:r>
          </w:p>
        </w:tc>
        <w:tc>
          <w:tcPr>
            <w:tcW w:w="1134" w:type="dxa"/>
            <w:tcBorders>
              <w:top w:val="nil"/>
              <w:left w:val="nil"/>
              <w:bottom w:val="single" w:color="000000" w:sz="8" w:space="0"/>
              <w:right w:val="single" w:color="000000" w:sz="8" w:space="0"/>
            </w:tcBorders>
            <w:shd w:val="clear" w:color="auto" w:fill="F6F6F6"/>
            <w:noWrap w:val="0"/>
            <w:tcMar>
              <w:left w:w="108" w:type="dxa"/>
              <w:right w:w="108" w:type="dxa"/>
            </w:tcMar>
            <w:vAlign w:val="center"/>
          </w:tcPr>
          <w:p>
            <w:pPr>
              <w:widowControl w:val="0"/>
              <w:numPr>
                <w:ilvl w:val="0"/>
                <w:numId w:val="0"/>
              </w:numPr>
              <w:jc w:val="center"/>
              <w:rPr>
                <w:rFonts w:hint="default"/>
                <w:b w:val="0"/>
                <w:bCs w:val="0"/>
                <w:lang w:val="en-US" w:eastAsia="zh-CN"/>
              </w:rPr>
            </w:pPr>
          </w:p>
        </w:tc>
      </w:tr>
    </w:tbl>
    <w:p>
      <w:pPr>
        <w:widowControl w:val="0"/>
        <w:numPr>
          <w:ilvl w:val="0"/>
          <w:numId w:val="0"/>
        </w:numPr>
        <w:jc w:val="both"/>
        <w:rPr>
          <w:rFonts w:hint="default"/>
          <w:b w:val="0"/>
          <w:bCs w:val="0"/>
          <w:lang w:val="en-US" w:eastAsia="zh-CN"/>
        </w:rPr>
      </w:pPr>
    </w:p>
    <w:p>
      <w:pPr>
        <w:widowControl w:val="0"/>
        <w:numPr>
          <w:ilvl w:val="0"/>
          <w:numId w:val="0"/>
        </w:numPr>
        <w:jc w:val="both"/>
        <w:rPr>
          <w:rFonts w:hint="default"/>
          <w:b w:val="0"/>
          <w:bCs w:val="0"/>
          <w:lang w:val="en-US" w:eastAsia="zh-CN"/>
        </w:rPr>
      </w:pPr>
      <w:r>
        <w:rPr>
          <w:rFonts w:hint="default"/>
          <w:b w:val="0"/>
          <w:bCs w:val="0"/>
          <w:lang w:val="en-US" w:eastAsia="zh-CN"/>
        </w:rPr>
        <w:t>请符合以上报名要求的供应商在公告发布时间起</w:t>
      </w:r>
      <w:r>
        <w:rPr>
          <w:rFonts w:hint="eastAsia"/>
          <w:b w:val="0"/>
          <w:bCs w:val="0"/>
          <w:lang w:val="en-US" w:eastAsia="zh-CN"/>
        </w:rPr>
        <w:t>三个工作</w:t>
      </w:r>
      <w:r>
        <w:rPr>
          <w:rFonts w:hint="default"/>
          <w:b w:val="0"/>
          <w:bCs w:val="0"/>
          <w:lang w:val="en-US" w:eastAsia="zh-CN"/>
        </w:rPr>
        <w:t>日内提供要求的纸质材料，报送到我院设备物资部。经审核合格后，试用产品按临床科室需求提交。</w:t>
      </w:r>
    </w:p>
    <w:p>
      <w:pPr>
        <w:widowControl w:val="0"/>
        <w:numPr>
          <w:ilvl w:val="0"/>
          <w:numId w:val="0"/>
        </w:numPr>
        <w:jc w:val="both"/>
        <w:rPr>
          <w:rFonts w:hint="default"/>
          <w:b w:val="0"/>
          <w:bCs w:val="0"/>
          <w:lang w:val="en-US" w:eastAsia="zh-CN"/>
        </w:rPr>
      </w:pPr>
    </w:p>
    <w:p>
      <w:pPr>
        <w:numPr>
          <w:ilvl w:val="0"/>
          <w:numId w:val="1"/>
        </w:numPr>
        <w:ind w:left="0" w:leftChars="0" w:firstLine="0" w:firstLineChars="0"/>
        <w:rPr>
          <w:rFonts w:hint="default"/>
          <w:b/>
          <w:bCs/>
          <w:lang w:val="en-US" w:eastAsia="zh-CN"/>
        </w:rPr>
      </w:pPr>
      <w:r>
        <w:rPr>
          <w:rFonts w:hint="default"/>
          <w:b/>
          <w:bCs/>
          <w:lang w:val="en-US" w:eastAsia="zh-CN"/>
        </w:rPr>
        <w:t>报名时间：</w:t>
      </w:r>
      <w:r>
        <w:rPr>
          <w:rFonts w:hint="eastAsia" w:eastAsia="宋体"/>
          <w:b w:val="0"/>
          <w:bCs w:val="0"/>
          <w:lang w:val="en-US" w:eastAsia="zh-CN"/>
        </w:rPr>
        <w:t>公告之日起</w:t>
      </w:r>
      <w:r>
        <w:rPr>
          <w:rFonts w:hint="eastAsia"/>
          <w:b w:val="0"/>
          <w:bCs w:val="0"/>
          <w:lang w:val="en-US" w:eastAsia="zh-CN"/>
        </w:rPr>
        <w:t>5</w:t>
      </w:r>
      <w:r>
        <w:rPr>
          <w:rFonts w:hint="eastAsia" w:eastAsia="宋体"/>
          <w:b w:val="0"/>
          <w:bCs w:val="0"/>
          <w:lang w:val="en-US" w:eastAsia="zh-CN"/>
        </w:rPr>
        <w:t>个工作日内，截止17：30，逾期不予受理</w:t>
      </w:r>
    </w:p>
    <w:p>
      <w:pPr>
        <w:numPr>
          <w:ilvl w:val="0"/>
          <w:numId w:val="0"/>
        </w:numPr>
        <w:ind w:leftChars="0"/>
        <w:rPr>
          <w:rFonts w:hint="default"/>
          <w:b/>
          <w:bCs/>
          <w:lang w:val="en-US" w:eastAsia="zh-CN"/>
        </w:rPr>
      </w:pPr>
    </w:p>
    <w:p>
      <w:pPr>
        <w:numPr>
          <w:ilvl w:val="0"/>
          <w:numId w:val="1"/>
        </w:numPr>
        <w:ind w:left="0" w:leftChars="0" w:firstLine="0" w:firstLineChars="0"/>
        <w:rPr>
          <w:rFonts w:hint="default"/>
          <w:b/>
          <w:bCs/>
          <w:lang w:val="en-US" w:eastAsia="zh-CN"/>
        </w:rPr>
      </w:pPr>
      <w:r>
        <w:rPr>
          <w:rFonts w:hint="default"/>
          <w:b/>
          <w:bCs/>
          <w:lang w:val="en-US" w:eastAsia="zh-CN"/>
        </w:rPr>
        <w:t>报名地点及咨询电话</w:t>
      </w:r>
    </w:p>
    <w:p>
      <w:pPr>
        <w:widowControl w:val="0"/>
        <w:numPr>
          <w:ilvl w:val="0"/>
          <w:numId w:val="0"/>
        </w:numPr>
        <w:jc w:val="both"/>
        <w:rPr>
          <w:rFonts w:hint="default"/>
          <w:b w:val="0"/>
          <w:bCs w:val="0"/>
          <w:lang w:val="en-US" w:eastAsia="zh-CN"/>
        </w:rPr>
      </w:pPr>
      <w:r>
        <w:rPr>
          <w:rFonts w:hint="default"/>
          <w:b w:val="0"/>
          <w:bCs w:val="0"/>
          <w:lang w:val="en-US" w:eastAsia="zh-CN"/>
        </w:rPr>
        <w:t>地址：厦门</w:t>
      </w:r>
      <w:r>
        <w:rPr>
          <w:rFonts w:hint="eastAsia"/>
          <w:b w:val="0"/>
          <w:bCs w:val="0"/>
          <w:lang w:val="en-US" w:eastAsia="zh-CN"/>
        </w:rPr>
        <w:t>市仙岳</w:t>
      </w:r>
      <w:r>
        <w:rPr>
          <w:rFonts w:hint="default"/>
          <w:b w:val="0"/>
          <w:bCs w:val="0"/>
          <w:lang w:val="en-US" w:eastAsia="zh-CN"/>
        </w:rPr>
        <w:t>医院</w:t>
      </w:r>
      <w:r>
        <w:rPr>
          <w:rFonts w:hint="eastAsia"/>
          <w:b w:val="0"/>
          <w:bCs w:val="0"/>
          <w:lang w:val="en-US" w:eastAsia="zh-CN"/>
        </w:rPr>
        <w:t>门诊3楼</w:t>
      </w:r>
      <w:r>
        <w:rPr>
          <w:rFonts w:hint="default"/>
          <w:b w:val="0"/>
          <w:bCs w:val="0"/>
          <w:lang w:val="en-US" w:eastAsia="zh-CN"/>
        </w:rPr>
        <w:t>设备物资部</w:t>
      </w:r>
    </w:p>
    <w:p>
      <w:pPr>
        <w:widowControl w:val="0"/>
        <w:numPr>
          <w:ilvl w:val="0"/>
          <w:numId w:val="0"/>
        </w:numPr>
        <w:jc w:val="both"/>
        <w:rPr>
          <w:rFonts w:hint="default"/>
          <w:b w:val="0"/>
          <w:bCs w:val="0"/>
          <w:lang w:val="en-US" w:eastAsia="zh-CN"/>
        </w:rPr>
      </w:pPr>
      <w:r>
        <w:rPr>
          <w:rFonts w:hint="default"/>
          <w:b w:val="0"/>
          <w:bCs w:val="0"/>
          <w:lang w:val="en-US" w:eastAsia="zh-CN"/>
        </w:rPr>
        <w:t>联系电话： </w:t>
      </w:r>
      <w:r>
        <w:rPr>
          <w:rFonts w:hint="eastAsia"/>
          <w:b w:val="0"/>
          <w:bCs w:val="0"/>
          <w:lang w:val="en-US" w:eastAsia="zh-CN"/>
        </w:rPr>
        <w:t xml:space="preserve">郑老师 </w:t>
      </w:r>
      <w:r>
        <w:rPr>
          <w:rFonts w:hint="default"/>
          <w:b w:val="0"/>
          <w:bCs w:val="0"/>
          <w:lang w:val="en-US" w:eastAsia="zh-CN"/>
        </w:rPr>
        <w:t>0592-</w:t>
      </w:r>
      <w:r>
        <w:rPr>
          <w:rFonts w:hint="eastAsia"/>
          <w:b w:val="0"/>
          <w:bCs w:val="0"/>
          <w:lang w:val="en-US" w:eastAsia="zh-CN"/>
        </w:rPr>
        <w:t>5392623</w:t>
      </w:r>
    </w:p>
    <w:p>
      <w:pPr>
        <w:widowControl w:val="0"/>
        <w:numPr>
          <w:ilvl w:val="0"/>
          <w:numId w:val="0"/>
        </w:numPr>
        <w:jc w:val="both"/>
        <w:rPr>
          <w:rFonts w:hint="default"/>
          <w:b w:val="0"/>
          <w:bCs w:val="0"/>
          <w:lang w:val="en-US" w:eastAsia="zh-CN"/>
        </w:rPr>
      </w:pPr>
    </w:p>
    <w:p>
      <w:pPr>
        <w:widowControl w:val="0"/>
        <w:numPr>
          <w:ilvl w:val="0"/>
          <w:numId w:val="0"/>
        </w:numPr>
        <w:jc w:val="both"/>
        <w:rPr>
          <w:rFonts w:hint="default"/>
          <w:b w:val="0"/>
          <w:bCs w:val="0"/>
          <w:lang w:val="en-US" w:eastAsia="zh-CN"/>
        </w:rPr>
      </w:pPr>
      <w:r>
        <w:rPr>
          <w:rFonts w:hint="default"/>
          <w:b w:val="0"/>
          <w:bCs w:val="0"/>
          <w:lang w:val="en-US" w:eastAsia="zh-CN"/>
        </w:rPr>
        <w:t>附件：</w:t>
      </w:r>
      <w:r>
        <w:rPr>
          <w:rFonts w:hint="default"/>
          <w:b w:val="0"/>
          <w:bCs w:val="0"/>
          <w:lang w:val="en-US" w:eastAsia="zh-CN"/>
        </w:rPr>
        <w:object>
          <v:shape id="_x0000_i1025" o:spt="75" type="#_x0000_t75" style="height:60pt;width:60pt;" o:ole="t" filled="f" o:preferrelative="t" stroked="f" coordsize="21600,21600">
            <v:path/>
            <v:fill on="f" focussize="0,0"/>
            <v:stroke on="f"/>
            <v:imagedata r:id="rId5" o:title=""/>
            <o:lock v:ext="edit" aspectratio="t"/>
            <w10:wrap type="none"/>
            <w10:anchorlock/>
          </v:shape>
          <o:OLEObject Type="Embed" ProgID="Word.Backup.8" ShapeID="_x0000_i1025" DrawAspect="Icon" ObjectID="_1468075725" r:id="rId4">
            <o:LockedField>false</o:LockedField>
          </o:OLEObject>
        </w:object>
      </w:r>
    </w:p>
    <w:p>
      <w:pPr>
        <w:widowControl w:val="0"/>
        <w:numPr>
          <w:ilvl w:val="0"/>
          <w:numId w:val="0"/>
        </w:numPr>
        <w:jc w:val="both"/>
        <w:rPr>
          <w:rFonts w:hint="default"/>
          <w:b w:val="0"/>
          <w:bCs w:val="0"/>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0A3D"/>
    <w:multiLevelType w:val="singleLevel"/>
    <w:tmpl w:val="F3FC0A3D"/>
    <w:lvl w:ilvl="0" w:tentative="0">
      <w:start w:val="1"/>
      <w:numFmt w:val="decimal"/>
      <w:suff w:val="nothing"/>
      <w:lvlText w:val="%1、"/>
      <w:lvlJc w:val="left"/>
    </w:lvl>
  </w:abstractNum>
  <w:abstractNum w:abstractNumId="1">
    <w:nsid w:val="F9F9265A"/>
    <w:multiLevelType w:val="singleLevel"/>
    <w:tmpl w:val="F9F926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jgzNWQ2N2RiZTdhZDZkOWE2MmY2NzBhODJmNDcifQ=="/>
  </w:docVars>
  <w:rsids>
    <w:rsidRoot w:val="FFBCC3C5"/>
    <w:rsid w:val="62E009BF"/>
    <w:rsid w:val="76DF2155"/>
    <w:rsid w:val="7EFB29C1"/>
    <w:rsid w:val="7F27DF4E"/>
    <w:rsid w:val="FFBCC3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866</Words>
  <Characters>886</Characters>
  <Lines>0</Lines>
  <Paragraphs>0</Paragraphs>
  <TotalTime>1</TotalTime>
  <ScaleCrop>false</ScaleCrop>
  <LinksUpToDate>false</LinksUpToDate>
  <CharactersWithSpaces>888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2024-04-02T00:49:00Z</dcterms:created>
  <dc:creator>WPS_1694500271</dc:creator>
  <cp:lastModifiedBy>茵</cp:lastModifiedBy>
  <cp:lastPrinted>2024-04-04T00:25:00Z</cp:lastPrinted>
  <dcterms:modified xsi:type="dcterms:W3CDTF">2024-04-25T10:36:29Z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5E8FEFEB37C0E3CE30D62166AE176EEC</vt:lpwstr>
  </property>
</Properties>
</file>